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B" w:rsidRPr="00735E19" w:rsidRDefault="001E32FE" w:rsidP="001E32F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5E19">
        <w:rPr>
          <w:rFonts w:ascii="標楷體" w:eastAsia="標楷體" w:hAnsi="標楷體" w:hint="eastAsia"/>
          <w:b/>
          <w:sz w:val="32"/>
          <w:szCs w:val="32"/>
        </w:rPr>
        <w:t>第十</w:t>
      </w:r>
      <w:r w:rsidR="007E31C1">
        <w:rPr>
          <w:rFonts w:ascii="標楷體" w:eastAsia="標楷體" w:hAnsi="標楷體" w:hint="eastAsia"/>
          <w:b/>
          <w:sz w:val="32"/>
          <w:szCs w:val="32"/>
        </w:rPr>
        <w:t>六</w:t>
      </w:r>
      <w:r w:rsidRPr="00735E19">
        <w:rPr>
          <w:rFonts w:ascii="標楷體" w:eastAsia="標楷體" w:hAnsi="標楷體" w:hint="eastAsia"/>
          <w:b/>
          <w:sz w:val="32"/>
          <w:szCs w:val="32"/>
        </w:rPr>
        <w:t>屆全國經典總會考籌備</w:t>
      </w:r>
      <w:r w:rsidR="00FC5B7B" w:rsidRPr="00735E19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1E32FE" w:rsidRPr="00C16F61" w:rsidRDefault="00FC5B7B" w:rsidP="00C16F61">
      <w:pPr>
        <w:numPr>
          <w:ilvl w:val="0"/>
          <w:numId w:val="18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16F61">
        <w:rPr>
          <w:rFonts w:ascii="標楷體" w:eastAsia="標楷體" w:hAnsi="標楷體" w:hint="eastAsia"/>
          <w:sz w:val="28"/>
          <w:szCs w:val="28"/>
        </w:rPr>
        <w:t>時間：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16F61" w:rsidRPr="00C16F6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)上午10時</w:t>
      </w:r>
      <w:r w:rsidR="00C16F61" w:rsidRPr="00C16F61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分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貳、地點：臺灣省政資料館第一會議室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參、主持人：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 xml:space="preserve">    臺灣省政府 </w:t>
      </w:r>
      <w:r w:rsidR="007E31C1">
        <w:rPr>
          <w:rFonts w:ascii="標楷體" w:eastAsia="標楷體" w:hAnsi="標楷體" w:hint="eastAsia"/>
          <w:sz w:val="28"/>
          <w:szCs w:val="28"/>
        </w:rPr>
        <w:t>簡俊淦副秘書長</w:t>
      </w:r>
    </w:p>
    <w:p w:rsidR="00FC5B7B" w:rsidRPr="00FC5B7B" w:rsidRDefault="00FC5B7B" w:rsidP="008342C9">
      <w:pPr>
        <w:spacing w:line="480" w:lineRule="exact"/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 xml:space="preserve">    財團法人</w:t>
      </w:r>
      <w:r w:rsidR="000D01B0">
        <w:rPr>
          <w:rFonts w:ascii="標楷體" w:eastAsia="標楷體" w:hAnsi="標楷體" w:hint="eastAsia"/>
          <w:sz w:val="28"/>
          <w:szCs w:val="28"/>
        </w:rPr>
        <w:t>臺北市</w:t>
      </w:r>
      <w:r w:rsidRPr="00FC5B7B">
        <w:rPr>
          <w:rFonts w:ascii="標楷體" w:eastAsia="標楷體" w:hAnsi="標楷體" w:hint="eastAsia"/>
          <w:sz w:val="28"/>
          <w:szCs w:val="28"/>
        </w:rPr>
        <w:t>全球讀經教育基金會</w:t>
      </w:r>
      <w:r w:rsidR="008342C9">
        <w:rPr>
          <w:rFonts w:ascii="標楷體" w:eastAsia="標楷體" w:hAnsi="標楷體" w:hint="eastAsia"/>
          <w:sz w:val="28"/>
          <w:szCs w:val="28"/>
        </w:rPr>
        <w:t xml:space="preserve"> </w:t>
      </w:r>
      <w:r w:rsidR="007E31C1">
        <w:rPr>
          <w:rFonts w:ascii="標楷體" w:eastAsia="標楷體" w:hAnsi="標楷體" w:hint="eastAsia"/>
          <w:sz w:val="28"/>
          <w:szCs w:val="28"/>
        </w:rPr>
        <w:t>王銘執行</w:t>
      </w:r>
      <w:r w:rsidR="008342C9">
        <w:rPr>
          <w:rFonts w:ascii="標楷體" w:eastAsia="標楷體" w:hAnsi="標楷體" w:hint="eastAsia"/>
          <w:sz w:val="28"/>
          <w:szCs w:val="28"/>
        </w:rPr>
        <w:t>長</w:t>
      </w:r>
      <w:r w:rsidR="001E32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5B7B">
        <w:rPr>
          <w:rFonts w:ascii="標楷體" w:eastAsia="標楷體" w:hAnsi="標楷體" w:hint="eastAsia"/>
          <w:sz w:val="28"/>
          <w:szCs w:val="28"/>
        </w:rPr>
        <w:t>記錄：</w:t>
      </w:r>
      <w:r w:rsidR="007E31C1">
        <w:rPr>
          <w:rFonts w:ascii="標楷體" w:eastAsia="標楷體" w:hAnsi="標楷體" w:hint="eastAsia"/>
          <w:sz w:val="28"/>
          <w:szCs w:val="28"/>
        </w:rPr>
        <w:t>黃淑宜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肆、出列席單位：略</w:t>
      </w:r>
    </w:p>
    <w:p w:rsid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伍、報告事項：第</w:t>
      </w:r>
      <w:r w:rsidR="000D01B0">
        <w:rPr>
          <w:rFonts w:ascii="標楷體" w:eastAsia="標楷體" w:hAnsi="標楷體" w:hint="eastAsia"/>
          <w:sz w:val="28"/>
          <w:szCs w:val="28"/>
        </w:rPr>
        <w:t>十</w:t>
      </w:r>
      <w:r w:rsidR="007E31C1">
        <w:rPr>
          <w:rFonts w:ascii="標楷體" w:eastAsia="標楷體" w:hAnsi="標楷體" w:hint="eastAsia"/>
          <w:sz w:val="28"/>
          <w:szCs w:val="28"/>
        </w:rPr>
        <w:t>六</w:t>
      </w:r>
      <w:r w:rsidRPr="00FC5B7B">
        <w:rPr>
          <w:rFonts w:ascii="標楷體" w:eastAsia="標楷體" w:hAnsi="標楷體" w:hint="eastAsia"/>
          <w:sz w:val="28"/>
          <w:szCs w:val="28"/>
        </w:rPr>
        <w:t>屆全國經典總會考執行情形報告</w:t>
      </w:r>
    </w:p>
    <w:p w:rsidR="001E32FE" w:rsidRPr="00FC5B7B" w:rsidRDefault="001E32FE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    議：同意備查。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陸、主持人致詞：略</w:t>
      </w:r>
    </w:p>
    <w:p w:rsidR="002440C2" w:rsidRPr="00FC5B7B" w:rsidRDefault="00FC5B7B" w:rsidP="00FC5B7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440C2" w:rsidRPr="00FC5B7B">
        <w:rPr>
          <w:rFonts w:ascii="標楷體" w:eastAsia="標楷體" w:hAnsi="標楷體" w:hint="eastAsia"/>
          <w:color w:val="000000"/>
          <w:sz w:val="28"/>
          <w:szCs w:val="28"/>
        </w:rPr>
        <w:t>討論事項：</w:t>
      </w:r>
    </w:p>
    <w:p w:rsidR="00416CB9" w:rsidRPr="00D129B2" w:rsidRDefault="00416CB9" w:rsidP="00416CB9">
      <w:pPr>
        <w:spacing w:line="460" w:lineRule="exact"/>
        <w:ind w:left="1090" w:hangingChars="389" w:hanging="109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第一案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：「第十六屆全國經典總會考簡章」相關事項、時程，提請討論。</w:t>
      </w:r>
    </w:p>
    <w:p w:rsidR="00416CB9" w:rsidRPr="00D129B2" w:rsidRDefault="00416CB9" w:rsidP="00416C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416CB9" w:rsidRPr="00D129B2" w:rsidRDefault="00416CB9" w:rsidP="00416CB9">
      <w:pPr>
        <w:spacing w:line="460" w:lineRule="exact"/>
        <w:ind w:leftChars="119" w:left="849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一、本屆會考由臺灣省政府主辦，財團法人臺北市全球讀經教育基金會承辦。</w:t>
      </w:r>
    </w:p>
    <w:p w:rsidR="00416CB9" w:rsidRPr="00D129B2" w:rsidRDefault="00416CB9" w:rsidP="00416CB9">
      <w:pPr>
        <w:spacing w:line="460" w:lineRule="exact"/>
        <w:ind w:leftChars="119" w:left="569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二、經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擬「第十六屆全國經典總會考簡章」及各項作業時程如附件。</w:t>
      </w:r>
    </w:p>
    <w:p w:rsidR="00416CB9" w:rsidRPr="00D129B2" w:rsidRDefault="00416CB9" w:rsidP="00416CB9">
      <w:pPr>
        <w:spacing w:line="460" w:lineRule="exact"/>
        <w:ind w:leftChars="135" w:left="761" w:hangingChars="156" w:hanging="437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本屆科段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說明如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后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16CB9" w:rsidRPr="00D129B2" w:rsidRDefault="00416CB9" w:rsidP="00416CB9">
      <w:pPr>
        <w:spacing w:line="460" w:lineRule="exact"/>
        <w:ind w:leftChars="187" w:left="1275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（一）依省府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101年12月28日府教文字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1011810089號函送「第十三屆全國經典總會考試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工作檢討會」會議紀錄決議事項辦理。</w:t>
      </w:r>
    </w:p>
    <w:p w:rsidR="00416CB9" w:rsidRDefault="00416CB9" w:rsidP="00416CB9">
      <w:pPr>
        <w:spacing w:line="480" w:lineRule="exact"/>
        <w:ind w:leftChars="187" w:left="1275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（二）中文</w:t>
      </w:r>
      <w:r w:rsidRPr="00D129B2">
        <w:rPr>
          <w:rFonts w:ascii="標楷體" w:eastAsia="標楷體" w:hAnsi="標楷體" w:hint="eastAsia"/>
          <w:i/>
          <w:color w:val="000000"/>
          <w:sz w:val="28"/>
          <w:szCs w:val="28"/>
          <w:u w:val="single"/>
        </w:rPr>
        <w:t>38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段、英文21段共</w:t>
      </w:r>
      <w:r w:rsidRPr="00D129B2">
        <w:rPr>
          <w:rFonts w:ascii="標楷體" w:eastAsia="標楷體" w:hAnsi="標楷體" w:hint="eastAsia"/>
          <w:i/>
          <w:color w:val="000000"/>
          <w:sz w:val="28"/>
          <w:szCs w:val="28"/>
          <w:u w:val="single"/>
        </w:rPr>
        <w:t>59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段，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另閩語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8段、客語8段(語言別)。（</w:t>
      </w:r>
      <w:r w:rsidRPr="00D129B2">
        <w:rPr>
          <w:rFonts w:ascii="標楷體" w:eastAsia="標楷體" w:hAnsi="標楷體" w:hint="eastAsia"/>
          <w:i/>
          <w:color w:val="000000"/>
          <w:sz w:val="28"/>
          <w:szCs w:val="28"/>
        </w:rPr>
        <w:t>段別代號對照表</w:t>
      </w:r>
      <w:proofErr w:type="gramStart"/>
      <w:r w:rsidRPr="00D129B2">
        <w:rPr>
          <w:rFonts w:ascii="標楷體" w:eastAsia="標楷體" w:hAnsi="標楷體" w:hint="eastAsia"/>
          <w:i/>
          <w:color w:val="000000"/>
          <w:sz w:val="28"/>
          <w:szCs w:val="28"/>
        </w:rPr>
        <w:t>詳</w:t>
      </w:r>
      <w:proofErr w:type="gramEnd"/>
      <w:r w:rsidRPr="00D129B2">
        <w:rPr>
          <w:rFonts w:ascii="標楷體" w:eastAsia="標楷體" w:hAnsi="標楷體" w:hint="eastAsia"/>
          <w:i/>
          <w:color w:val="000000"/>
          <w:sz w:val="28"/>
          <w:szCs w:val="28"/>
        </w:rPr>
        <w:t>附件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2440C2" w:rsidRPr="0079373B" w:rsidRDefault="002440C2" w:rsidP="00416CB9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9373B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FC5B7B" w:rsidRPr="00FC5B7B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2440C2" w:rsidRDefault="002440C2" w:rsidP="000C356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6CB9" w:rsidRPr="00D129B2" w:rsidRDefault="00416CB9" w:rsidP="00416CB9">
      <w:pPr>
        <w:spacing w:line="480" w:lineRule="exact"/>
        <w:ind w:left="1090" w:hangingChars="389" w:hanging="109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第二案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：有關第十六屆全國經典總會考新承辦及申請設置考場學校試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說明會及補助辦法，提請討論。</w:t>
      </w:r>
    </w:p>
    <w:p w:rsidR="00416CB9" w:rsidRPr="00D129B2" w:rsidRDefault="00416CB9" w:rsidP="00416CB9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416CB9" w:rsidRPr="00D129B2" w:rsidRDefault="00416CB9" w:rsidP="00416CB9">
      <w:pPr>
        <w:spacing w:line="480" w:lineRule="exact"/>
        <w:ind w:leftChars="137" w:left="872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D129B2">
        <w:rPr>
          <w:rFonts w:eastAsia="標楷體" w:hint="eastAsia"/>
          <w:color w:val="000000"/>
          <w:sz w:val="28"/>
          <w:szCs w:val="28"/>
        </w:rPr>
        <w:t>請各縣市政府教育局（處）指定承辦學校及協助加強宣傳，有意自行申請設置考場之學校，應於</w:t>
      </w:r>
      <w:r w:rsidRPr="00D129B2">
        <w:rPr>
          <w:rFonts w:eastAsia="標楷體" w:hint="eastAsia"/>
          <w:color w:val="000000"/>
          <w:sz w:val="28"/>
          <w:szCs w:val="28"/>
        </w:rPr>
        <w:t>5</w:t>
      </w:r>
      <w:r w:rsidRPr="00D129B2">
        <w:rPr>
          <w:rFonts w:eastAsia="標楷體" w:hint="eastAsia"/>
          <w:color w:val="000000"/>
          <w:sz w:val="28"/>
          <w:szCs w:val="28"/>
        </w:rPr>
        <w:t>月</w:t>
      </w:r>
      <w:r w:rsidRPr="00D129B2">
        <w:rPr>
          <w:rFonts w:eastAsia="標楷體" w:hint="eastAsia"/>
          <w:color w:val="000000"/>
          <w:sz w:val="28"/>
          <w:szCs w:val="28"/>
        </w:rPr>
        <w:t>11</w:t>
      </w:r>
      <w:r w:rsidRPr="00D129B2">
        <w:rPr>
          <w:rFonts w:eastAsia="標楷體" w:hint="eastAsia"/>
          <w:color w:val="000000"/>
          <w:sz w:val="28"/>
          <w:szCs w:val="28"/>
        </w:rPr>
        <w:t>日前提出，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利承辦單位全球讀經教育基金會辦理各項後續作業。</w:t>
      </w:r>
    </w:p>
    <w:p w:rsidR="00416CB9" w:rsidRPr="00D129B2" w:rsidRDefault="00416CB9" w:rsidP="00416CB9">
      <w:pPr>
        <w:spacing w:line="480" w:lineRule="exact"/>
        <w:ind w:leftChars="137" w:left="872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二、本年度新承辦及申請設置考場學校，承辦單位將擇適當時間與地點舉辦試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說明會共同說明。</w:t>
      </w:r>
    </w:p>
    <w:p w:rsidR="00416CB9" w:rsidRPr="00D129B2" w:rsidRDefault="00416CB9" w:rsidP="00416CB9">
      <w:pPr>
        <w:spacing w:line="480" w:lineRule="exact"/>
        <w:ind w:leftChars="137" w:left="872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三、有關承辦第十六屆全國經典總會考之學校補助辦法如下：</w:t>
      </w:r>
    </w:p>
    <w:p w:rsidR="00416CB9" w:rsidRPr="00D129B2" w:rsidRDefault="00416CB9" w:rsidP="00416CB9">
      <w:pPr>
        <w:spacing w:line="480" w:lineRule="exact"/>
        <w:ind w:firstLineChars="233" w:firstLine="652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（一）指定承辦學校</w:t>
      </w:r>
    </w:p>
    <w:p w:rsidR="00416CB9" w:rsidRPr="00D129B2" w:rsidRDefault="00416CB9" w:rsidP="00416CB9">
      <w:pPr>
        <w:spacing w:line="480" w:lineRule="exact"/>
        <w:ind w:leftChars="453" w:left="2397" w:hangingChars="468" w:hanging="131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監考費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:依試場數計，每試場1,000元。口試每試場30段，半天考完(約3個半小時)。若同一考生超過30段仍以一試場計。筆試每試場30人，第一天未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考完者第二天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繼續。</w:t>
      </w:r>
    </w:p>
    <w:p w:rsidR="00416CB9" w:rsidRPr="00D129B2" w:rsidRDefault="00416CB9" w:rsidP="00416CB9">
      <w:pPr>
        <w:adjustRightInd w:val="0"/>
        <w:spacing w:line="480" w:lineRule="exact"/>
        <w:ind w:leftChars="453" w:left="2397" w:hangingChars="468" w:hanging="131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D129B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行政費</w:t>
      </w:r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: (依據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1999"/>
        </w:smartTagPr>
        <w:r w:rsidRPr="00D129B2"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99年12月19日</w:t>
        </w:r>
      </w:smartTag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第11屆全國經典總會考試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工作檢討會決議暨100年第12屆全國經典總會考第1次籌備會決議)</w:t>
      </w:r>
    </w:p>
    <w:tbl>
      <w:tblPr>
        <w:tblW w:w="8779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417"/>
        <w:gridCol w:w="1387"/>
        <w:gridCol w:w="1595"/>
        <w:gridCol w:w="1610"/>
        <w:gridCol w:w="1680"/>
      </w:tblGrid>
      <w:tr w:rsidR="00416CB9" w:rsidRPr="00D129B2" w:rsidTr="00C20AC7">
        <w:tc>
          <w:tcPr>
            <w:tcW w:w="109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41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50人以下</w:t>
            </w:r>
          </w:p>
        </w:tc>
        <w:tc>
          <w:tcPr>
            <w:tcW w:w="138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51-99人</w:t>
            </w:r>
          </w:p>
        </w:tc>
        <w:tc>
          <w:tcPr>
            <w:tcW w:w="1595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100-199人</w:t>
            </w:r>
          </w:p>
        </w:tc>
        <w:tc>
          <w:tcPr>
            <w:tcW w:w="161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200-299人</w:t>
            </w:r>
          </w:p>
        </w:tc>
        <w:tc>
          <w:tcPr>
            <w:tcW w:w="168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300人以上</w:t>
            </w:r>
          </w:p>
        </w:tc>
      </w:tr>
      <w:tr w:rsidR="00416CB9" w:rsidRPr="00D129B2" w:rsidTr="00C20AC7">
        <w:tc>
          <w:tcPr>
            <w:tcW w:w="109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行政費</w:t>
            </w:r>
          </w:p>
        </w:tc>
        <w:tc>
          <w:tcPr>
            <w:tcW w:w="141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5,000元</w:t>
            </w:r>
          </w:p>
        </w:tc>
        <w:tc>
          <w:tcPr>
            <w:tcW w:w="138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10,000元</w:t>
            </w:r>
          </w:p>
        </w:tc>
        <w:tc>
          <w:tcPr>
            <w:tcW w:w="1595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15,000元</w:t>
            </w:r>
          </w:p>
        </w:tc>
        <w:tc>
          <w:tcPr>
            <w:tcW w:w="161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20,000元</w:t>
            </w:r>
          </w:p>
        </w:tc>
        <w:tc>
          <w:tcPr>
            <w:tcW w:w="168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30,000元</w:t>
            </w:r>
          </w:p>
        </w:tc>
      </w:tr>
    </w:tbl>
    <w:p w:rsidR="00416CB9" w:rsidRPr="00D129B2" w:rsidRDefault="00416CB9" w:rsidP="00416CB9">
      <w:pPr>
        <w:spacing w:line="480" w:lineRule="exact"/>
        <w:ind w:firstLineChars="272" w:firstLine="762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（二）非指定承辦學校(申請設置考場學校):</w:t>
      </w:r>
    </w:p>
    <w:p w:rsidR="00416CB9" w:rsidRPr="00D129B2" w:rsidRDefault="00416CB9" w:rsidP="00416CB9">
      <w:pPr>
        <w:spacing w:line="480" w:lineRule="exact"/>
        <w:ind w:left="1199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1.監考費：與指定承辦學校同。</w:t>
      </w:r>
    </w:p>
    <w:p w:rsidR="00416CB9" w:rsidRPr="00D129B2" w:rsidRDefault="00416CB9" w:rsidP="00416CB9">
      <w:pPr>
        <w:spacing w:line="480" w:lineRule="exact"/>
        <w:ind w:left="1199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2.行政費：無。</w:t>
      </w:r>
    </w:p>
    <w:p w:rsidR="00416CB9" w:rsidRPr="0079373B" w:rsidRDefault="00416CB9" w:rsidP="00CE2E05">
      <w:pPr>
        <w:spacing w:line="48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9373B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67672E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照案通過</w:t>
      </w:r>
      <w:r w:rsidR="001438F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="0067672E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proofErr w:type="gramEnd"/>
      <w:r w:rsidR="0067672E">
        <w:rPr>
          <w:rFonts w:ascii="標楷體" w:eastAsia="標楷體" w:hAnsi="標楷體" w:hint="eastAsia"/>
          <w:color w:val="000000"/>
          <w:sz w:val="28"/>
          <w:szCs w:val="28"/>
        </w:rPr>
        <w:t>針對個案部分，</w:t>
      </w:r>
      <w:r w:rsidR="003D0EB7" w:rsidRPr="0085225E">
        <w:rPr>
          <w:rFonts w:ascii="標楷體" w:eastAsia="標楷體" w:hAnsi="標楷體" w:hint="eastAsia"/>
          <w:sz w:val="28"/>
          <w:szCs w:val="28"/>
        </w:rPr>
        <w:t>請</w:t>
      </w:r>
      <w:r w:rsidR="00CE2E05">
        <w:rPr>
          <w:rFonts w:ascii="標楷體" w:eastAsia="標楷體" w:hAnsi="標楷體" w:hint="eastAsia"/>
          <w:sz w:val="28"/>
          <w:szCs w:val="28"/>
        </w:rPr>
        <w:t>臺北市</w:t>
      </w:r>
      <w:r w:rsidR="003D0EB7" w:rsidRPr="0085225E">
        <w:rPr>
          <w:rFonts w:ascii="標楷體" w:eastAsia="標楷體" w:hAnsi="標楷體" w:hint="eastAsia"/>
          <w:sz w:val="28"/>
          <w:szCs w:val="28"/>
        </w:rPr>
        <w:t>全球讀經教育基金會</w:t>
      </w:r>
      <w:r w:rsidR="003D0EB7" w:rsidRPr="005D1D67">
        <w:rPr>
          <w:rFonts w:ascii="標楷體" w:eastAsia="標楷體" w:hAnsi="標楷體" w:hint="eastAsia"/>
          <w:color w:val="000000" w:themeColor="text1"/>
          <w:sz w:val="28"/>
          <w:szCs w:val="28"/>
        </w:rPr>
        <w:t>錄案</w:t>
      </w:r>
      <w:proofErr w:type="gramStart"/>
      <w:r w:rsidR="005D1D6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5D1D67">
        <w:rPr>
          <w:rFonts w:ascii="標楷體" w:eastAsia="標楷體" w:hAnsi="標楷體" w:hint="eastAsia"/>
          <w:sz w:val="28"/>
          <w:szCs w:val="28"/>
        </w:rPr>
        <w:t>議</w:t>
      </w:r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6CB9" w:rsidRDefault="00416CB9" w:rsidP="000C356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6CB9" w:rsidRPr="00D129B2" w:rsidRDefault="00416CB9" w:rsidP="00416CB9">
      <w:pPr>
        <w:spacing w:line="480" w:lineRule="exact"/>
        <w:ind w:left="1090" w:hangingChars="389" w:hanging="109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第三案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：第十六屆全國經典總會考頒獎典禮實施時間及地點。</w:t>
      </w:r>
    </w:p>
    <w:p w:rsidR="00416CB9" w:rsidRPr="00D129B2" w:rsidRDefault="00416CB9" w:rsidP="00416CB9">
      <w:pPr>
        <w:spacing w:line="48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說明：本屆頒獎典禮在高雄市舉辦，時間擬訂於104年12月20日(星期日)上午9時假高雄市新莊高中舉行(</w:t>
      </w:r>
      <w:r w:rsidRPr="00D129B2">
        <w:rPr>
          <w:rFonts w:ascii="標楷體" w:eastAsia="標楷體" w:hAnsi="標楷體"/>
          <w:color w:val="000000"/>
          <w:sz w:val="28"/>
          <w:szCs w:val="28"/>
        </w:rPr>
        <w:t>高雄市左營區文慈路99號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CE2E05" w:rsidRDefault="00416CB9" w:rsidP="00CE2E05">
      <w:pPr>
        <w:spacing w:line="480" w:lineRule="exact"/>
        <w:ind w:leftChars="6" w:left="868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79373B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CE2E0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CE2E0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CE2E0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照案通過</w:t>
      </w:r>
      <w:r w:rsidR="001438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2E05" w:rsidRDefault="00CE2E05" w:rsidP="00CE2E05">
      <w:pPr>
        <w:spacing w:line="480" w:lineRule="exact"/>
        <w:ind w:leftChars="366" w:left="1452" w:hangingChars="205" w:hanging="57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5D1D67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="005D1D67" w:rsidRPr="0085225E">
        <w:rPr>
          <w:rFonts w:ascii="標楷體" w:eastAsia="標楷體" w:hAnsi="標楷體" w:hint="eastAsia"/>
          <w:sz w:val="28"/>
          <w:szCs w:val="28"/>
        </w:rPr>
        <w:t>全球讀經教育基金會</w:t>
      </w:r>
      <w:proofErr w:type="gramStart"/>
      <w:r w:rsidR="005D1D67">
        <w:rPr>
          <w:rFonts w:ascii="標楷體" w:eastAsia="標楷體" w:hAnsi="標楷體" w:hint="eastAsia"/>
          <w:sz w:val="28"/>
          <w:szCs w:val="28"/>
        </w:rPr>
        <w:t>與崇義文教</w:t>
      </w:r>
      <w:proofErr w:type="gramEnd"/>
      <w:r w:rsidR="005D1D67">
        <w:rPr>
          <w:rFonts w:ascii="標楷體" w:eastAsia="標楷體" w:hAnsi="標楷體" w:hint="eastAsia"/>
          <w:sz w:val="28"/>
          <w:szCs w:val="28"/>
        </w:rPr>
        <w:t>基金會積極聯繫</w:t>
      </w:r>
      <w:r>
        <w:rPr>
          <w:rFonts w:ascii="標楷體" w:eastAsia="標楷體" w:hAnsi="標楷體" w:hint="eastAsia"/>
          <w:sz w:val="28"/>
          <w:szCs w:val="28"/>
        </w:rPr>
        <w:t>，並洽高雄市政府協助。</w:t>
      </w:r>
    </w:p>
    <w:p w:rsidR="00416CB9" w:rsidRPr="0079373B" w:rsidRDefault="00CE2E05" w:rsidP="00CE2E05">
      <w:pPr>
        <w:spacing w:line="480" w:lineRule="exact"/>
        <w:ind w:leftChars="366" w:left="1452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438FA">
        <w:rPr>
          <w:rFonts w:ascii="標楷體" w:eastAsia="標楷體" w:hAnsi="標楷體" w:hint="eastAsia"/>
          <w:sz w:val="28"/>
          <w:szCs w:val="28"/>
        </w:rPr>
        <w:t>請崇義文教基金會</w:t>
      </w:r>
      <w:r w:rsidR="00C67DCC">
        <w:rPr>
          <w:rFonts w:ascii="標楷體" w:eastAsia="標楷體" w:hAnsi="標楷體" w:hint="eastAsia"/>
          <w:sz w:val="28"/>
          <w:szCs w:val="28"/>
        </w:rPr>
        <w:t>積極籌劃辦理</w:t>
      </w:r>
      <w:r w:rsidR="001438FA">
        <w:rPr>
          <w:rFonts w:ascii="標楷體" w:eastAsia="標楷體" w:hAnsi="標楷體" w:hint="eastAsia"/>
          <w:sz w:val="28"/>
          <w:szCs w:val="28"/>
        </w:rPr>
        <w:t>，</w:t>
      </w:r>
      <w:r w:rsidR="00C67DCC">
        <w:rPr>
          <w:rFonts w:ascii="標楷體" w:eastAsia="標楷體" w:hAnsi="標楷體" w:hint="eastAsia"/>
          <w:sz w:val="28"/>
          <w:szCs w:val="28"/>
        </w:rPr>
        <w:t>並請</w:t>
      </w:r>
      <w:r w:rsidR="00C67DCC">
        <w:rPr>
          <w:rFonts w:ascii="標楷體" w:eastAsia="標楷體" w:hAnsi="標楷體" w:hint="eastAsia"/>
          <w:sz w:val="28"/>
          <w:szCs w:val="28"/>
        </w:rPr>
        <w:t>高雄市政府鼎力協助</w:t>
      </w:r>
      <w:r w:rsidR="00C67DCC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416CB9" w:rsidRPr="00416CB9" w:rsidRDefault="00416CB9" w:rsidP="000C356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40C2" w:rsidRDefault="00B54AB1" w:rsidP="000C35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2440C2" w:rsidRPr="00294E4B">
        <w:rPr>
          <w:rFonts w:ascii="標楷體" w:eastAsia="標楷體" w:hAnsi="標楷體" w:hint="eastAsia"/>
          <w:sz w:val="28"/>
          <w:szCs w:val="28"/>
        </w:rPr>
        <w:t>臨時動議</w:t>
      </w:r>
      <w:r w:rsidR="005D1D67">
        <w:rPr>
          <w:rFonts w:ascii="標楷體" w:eastAsia="標楷體" w:hAnsi="標楷體" w:hint="eastAsia"/>
          <w:sz w:val="28"/>
          <w:szCs w:val="28"/>
        </w:rPr>
        <w:t>：（無）</w:t>
      </w:r>
    </w:p>
    <w:p w:rsidR="00941703" w:rsidRPr="00294E4B" w:rsidRDefault="005D1D67" w:rsidP="000C35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2440C2" w:rsidRPr="00294E4B">
        <w:rPr>
          <w:rFonts w:ascii="標楷體" w:eastAsia="標楷體" w:hAnsi="標楷體" w:hint="eastAsia"/>
          <w:sz w:val="28"/>
          <w:szCs w:val="28"/>
        </w:rPr>
        <w:t>散會</w:t>
      </w:r>
      <w:r w:rsidR="00B54AB1">
        <w:rPr>
          <w:rFonts w:ascii="標楷體" w:eastAsia="標楷體" w:hAnsi="標楷體" w:hint="eastAsia"/>
          <w:sz w:val="28"/>
          <w:szCs w:val="28"/>
        </w:rPr>
        <w:t>：12時</w:t>
      </w:r>
      <w:r w:rsidR="001959A4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941703" w:rsidRPr="00294E4B" w:rsidSect="00F47330">
      <w:headerReference w:type="default" r:id="rId9"/>
      <w:footerReference w:type="default" r:id="rId10"/>
      <w:pgSz w:w="11906" w:h="16838"/>
      <w:pgMar w:top="902" w:right="127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CF" w:rsidRDefault="00A557CF">
      <w:r>
        <w:separator/>
      </w:r>
    </w:p>
  </w:endnote>
  <w:endnote w:type="continuationSeparator" w:id="0">
    <w:p w:rsidR="00A557CF" w:rsidRDefault="00A5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E4" w:rsidRDefault="00AA68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7DCC" w:rsidRPr="00C67DCC">
      <w:rPr>
        <w:noProof/>
        <w:lang w:val="zh-TW" w:eastAsia="zh-TW"/>
      </w:rPr>
      <w:t>2</w:t>
    </w:r>
    <w:r>
      <w:fldChar w:fldCharType="end"/>
    </w:r>
  </w:p>
  <w:p w:rsidR="00E3181F" w:rsidRDefault="00E31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CF" w:rsidRDefault="00A557CF">
      <w:r>
        <w:separator/>
      </w:r>
    </w:p>
  </w:footnote>
  <w:footnote w:type="continuationSeparator" w:id="0">
    <w:p w:rsidR="00A557CF" w:rsidRDefault="00A5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E4" w:rsidRDefault="00AA68E4">
    <w:pPr>
      <w:pStyle w:val="a4"/>
    </w:pPr>
  </w:p>
  <w:p w:rsidR="00E3181F" w:rsidRDefault="00E318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1C"/>
    <w:multiLevelType w:val="hybridMultilevel"/>
    <w:tmpl w:val="DDB88718"/>
    <w:lvl w:ilvl="0" w:tplc="7924D53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BC71A3"/>
    <w:multiLevelType w:val="hybridMultilevel"/>
    <w:tmpl w:val="53AA1D14"/>
    <w:lvl w:ilvl="0" w:tplc="EFC2954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9AA79AE"/>
    <w:multiLevelType w:val="hybridMultilevel"/>
    <w:tmpl w:val="23CA7784"/>
    <w:lvl w:ilvl="0" w:tplc="05A0092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66DFD"/>
    <w:multiLevelType w:val="hybridMultilevel"/>
    <w:tmpl w:val="C7A22836"/>
    <w:lvl w:ilvl="0" w:tplc="AFF02534">
      <w:start w:val="1"/>
      <w:numFmt w:val="taiwaneseCountingThousand"/>
      <w:lvlText w:val="（%1）"/>
      <w:lvlJc w:val="left"/>
      <w:pPr>
        <w:ind w:left="1133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4">
    <w:nsid w:val="10BE6FF0"/>
    <w:multiLevelType w:val="multilevel"/>
    <w:tmpl w:val="D24096E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">
    <w:nsid w:val="169470F2"/>
    <w:multiLevelType w:val="hybridMultilevel"/>
    <w:tmpl w:val="22F2FED6"/>
    <w:lvl w:ilvl="0" w:tplc="7EE46F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2C38D4"/>
    <w:multiLevelType w:val="hybridMultilevel"/>
    <w:tmpl w:val="50BCCE72"/>
    <w:lvl w:ilvl="0" w:tplc="239C82A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>
    <w:nsid w:val="1E2E00BC"/>
    <w:multiLevelType w:val="hybridMultilevel"/>
    <w:tmpl w:val="DADCA34E"/>
    <w:lvl w:ilvl="0" w:tplc="73A8529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160E81"/>
    <w:multiLevelType w:val="hybridMultilevel"/>
    <w:tmpl w:val="4F642D1A"/>
    <w:lvl w:ilvl="0" w:tplc="593CEA04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347764ED"/>
    <w:multiLevelType w:val="multilevel"/>
    <w:tmpl w:val="22F2FED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D31A43"/>
    <w:multiLevelType w:val="multilevel"/>
    <w:tmpl w:val="C3B6C058"/>
    <w:lvl w:ilvl="0">
      <w:start w:val="2"/>
      <w:numFmt w:val="taiwaneseCountingThousand"/>
      <w:lvlText w:val="%1、"/>
      <w:lvlJc w:val="left"/>
      <w:pPr>
        <w:tabs>
          <w:tab w:val="num" w:pos="971"/>
        </w:tabs>
        <w:ind w:left="1200" w:hanging="720"/>
      </w:pPr>
      <w:rPr>
        <w:rFonts w:ascii="標楷體" w:eastAsia="標楷體" w:hAnsi="標楷體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087B3C"/>
    <w:multiLevelType w:val="hybridMultilevel"/>
    <w:tmpl w:val="1A8CC7E2"/>
    <w:lvl w:ilvl="0" w:tplc="239C82A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71557E"/>
    <w:multiLevelType w:val="multilevel"/>
    <w:tmpl w:val="22F2FED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B027BE"/>
    <w:multiLevelType w:val="hybridMultilevel"/>
    <w:tmpl w:val="AE047050"/>
    <w:lvl w:ilvl="0" w:tplc="E5DA5F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50666F"/>
    <w:multiLevelType w:val="hybridMultilevel"/>
    <w:tmpl w:val="FCD4EC30"/>
    <w:lvl w:ilvl="0" w:tplc="0F928F46">
      <w:start w:val="1"/>
      <w:numFmt w:val="taiwaneseCountingThousand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5">
    <w:nsid w:val="5CEA5452"/>
    <w:multiLevelType w:val="multilevel"/>
    <w:tmpl w:val="82BA9B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6">
    <w:nsid w:val="62064B3B"/>
    <w:multiLevelType w:val="hybridMultilevel"/>
    <w:tmpl w:val="4C060B56"/>
    <w:lvl w:ilvl="0" w:tplc="8012C00E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41387F"/>
    <w:multiLevelType w:val="hybridMultilevel"/>
    <w:tmpl w:val="64F44FE0"/>
    <w:lvl w:ilvl="0" w:tplc="16566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D33F4A"/>
    <w:multiLevelType w:val="multilevel"/>
    <w:tmpl w:val="D24096E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14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2"/>
    <w:rsid w:val="000001D4"/>
    <w:rsid w:val="00003878"/>
    <w:rsid w:val="00017701"/>
    <w:rsid w:val="00041BD3"/>
    <w:rsid w:val="00051A3B"/>
    <w:rsid w:val="00071F5C"/>
    <w:rsid w:val="000A067C"/>
    <w:rsid w:val="000C3564"/>
    <w:rsid w:val="000D01B0"/>
    <w:rsid w:val="000E51BE"/>
    <w:rsid w:val="000F352C"/>
    <w:rsid w:val="0010036A"/>
    <w:rsid w:val="00107C9B"/>
    <w:rsid w:val="00110501"/>
    <w:rsid w:val="00112BE7"/>
    <w:rsid w:val="0013143B"/>
    <w:rsid w:val="00140027"/>
    <w:rsid w:val="001438FA"/>
    <w:rsid w:val="0014690F"/>
    <w:rsid w:val="0014745D"/>
    <w:rsid w:val="001565AB"/>
    <w:rsid w:val="0017399B"/>
    <w:rsid w:val="001748E7"/>
    <w:rsid w:val="00175CE2"/>
    <w:rsid w:val="001761B5"/>
    <w:rsid w:val="00182FFA"/>
    <w:rsid w:val="001878A6"/>
    <w:rsid w:val="00191D95"/>
    <w:rsid w:val="00194B3C"/>
    <w:rsid w:val="001959A4"/>
    <w:rsid w:val="00195D54"/>
    <w:rsid w:val="001B0387"/>
    <w:rsid w:val="001B1701"/>
    <w:rsid w:val="001B678F"/>
    <w:rsid w:val="001B7A02"/>
    <w:rsid w:val="001C01FC"/>
    <w:rsid w:val="001C275F"/>
    <w:rsid w:val="001C3885"/>
    <w:rsid w:val="001C6531"/>
    <w:rsid w:val="001E32FE"/>
    <w:rsid w:val="001E5C49"/>
    <w:rsid w:val="001F4F77"/>
    <w:rsid w:val="002013ED"/>
    <w:rsid w:val="00201D16"/>
    <w:rsid w:val="00204E29"/>
    <w:rsid w:val="00213F46"/>
    <w:rsid w:val="00243F8A"/>
    <w:rsid w:val="002440C2"/>
    <w:rsid w:val="00253DEF"/>
    <w:rsid w:val="00260093"/>
    <w:rsid w:val="00262DC8"/>
    <w:rsid w:val="00267570"/>
    <w:rsid w:val="00287C00"/>
    <w:rsid w:val="00294E4B"/>
    <w:rsid w:val="002A1100"/>
    <w:rsid w:val="002A210F"/>
    <w:rsid w:val="002C0CC4"/>
    <w:rsid w:val="002D0388"/>
    <w:rsid w:val="002E50A8"/>
    <w:rsid w:val="002F2112"/>
    <w:rsid w:val="002F4585"/>
    <w:rsid w:val="00305BCF"/>
    <w:rsid w:val="00317F89"/>
    <w:rsid w:val="0033198B"/>
    <w:rsid w:val="00335B1A"/>
    <w:rsid w:val="003508F4"/>
    <w:rsid w:val="00355162"/>
    <w:rsid w:val="00357694"/>
    <w:rsid w:val="00364E71"/>
    <w:rsid w:val="00372102"/>
    <w:rsid w:val="00393F44"/>
    <w:rsid w:val="00397F53"/>
    <w:rsid w:val="003C72D1"/>
    <w:rsid w:val="003D0EB7"/>
    <w:rsid w:val="00416CB9"/>
    <w:rsid w:val="0042552C"/>
    <w:rsid w:val="00430381"/>
    <w:rsid w:val="004371A2"/>
    <w:rsid w:val="00453142"/>
    <w:rsid w:val="00453769"/>
    <w:rsid w:val="00456E5E"/>
    <w:rsid w:val="004959DB"/>
    <w:rsid w:val="004D0733"/>
    <w:rsid w:val="004D2701"/>
    <w:rsid w:val="004D7FB8"/>
    <w:rsid w:val="004E01EE"/>
    <w:rsid w:val="004E0704"/>
    <w:rsid w:val="004F523C"/>
    <w:rsid w:val="00506DD1"/>
    <w:rsid w:val="005277FE"/>
    <w:rsid w:val="00540272"/>
    <w:rsid w:val="0056590C"/>
    <w:rsid w:val="005666AE"/>
    <w:rsid w:val="005708E8"/>
    <w:rsid w:val="005849DC"/>
    <w:rsid w:val="00595998"/>
    <w:rsid w:val="005A029B"/>
    <w:rsid w:val="005D1D67"/>
    <w:rsid w:val="005E7B1C"/>
    <w:rsid w:val="005F1935"/>
    <w:rsid w:val="005F4945"/>
    <w:rsid w:val="00602360"/>
    <w:rsid w:val="0061272E"/>
    <w:rsid w:val="00615B9C"/>
    <w:rsid w:val="00620269"/>
    <w:rsid w:val="00625AB1"/>
    <w:rsid w:val="00634E31"/>
    <w:rsid w:val="006353DB"/>
    <w:rsid w:val="0065566A"/>
    <w:rsid w:val="00655A7F"/>
    <w:rsid w:val="0067672E"/>
    <w:rsid w:val="0068052A"/>
    <w:rsid w:val="00680878"/>
    <w:rsid w:val="00683413"/>
    <w:rsid w:val="00687897"/>
    <w:rsid w:val="00695B56"/>
    <w:rsid w:val="006A0831"/>
    <w:rsid w:val="006A57E4"/>
    <w:rsid w:val="006B5FB1"/>
    <w:rsid w:val="006C751F"/>
    <w:rsid w:val="006D7ED9"/>
    <w:rsid w:val="006E3189"/>
    <w:rsid w:val="007048C0"/>
    <w:rsid w:val="0071262F"/>
    <w:rsid w:val="007162AB"/>
    <w:rsid w:val="0072367B"/>
    <w:rsid w:val="00735E19"/>
    <w:rsid w:val="00755AC3"/>
    <w:rsid w:val="00761E49"/>
    <w:rsid w:val="0076609F"/>
    <w:rsid w:val="007723E9"/>
    <w:rsid w:val="00776761"/>
    <w:rsid w:val="00777BDB"/>
    <w:rsid w:val="0079373B"/>
    <w:rsid w:val="007949B4"/>
    <w:rsid w:val="007B0063"/>
    <w:rsid w:val="007D33EE"/>
    <w:rsid w:val="007D6566"/>
    <w:rsid w:val="007E31C1"/>
    <w:rsid w:val="007E4818"/>
    <w:rsid w:val="007F3FC3"/>
    <w:rsid w:val="00806012"/>
    <w:rsid w:val="00817C87"/>
    <w:rsid w:val="008342C9"/>
    <w:rsid w:val="00850870"/>
    <w:rsid w:val="0085225E"/>
    <w:rsid w:val="00873455"/>
    <w:rsid w:val="008871B4"/>
    <w:rsid w:val="0089099C"/>
    <w:rsid w:val="00891966"/>
    <w:rsid w:val="008C0197"/>
    <w:rsid w:val="008C11FD"/>
    <w:rsid w:val="008D7ADD"/>
    <w:rsid w:val="008E2CF4"/>
    <w:rsid w:val="008F42E3"/>
    <w:rsid w:val="008F46FD"/>
    <w:rsid w:val="009034B7"/>
    <w:rsid w:val="00912A9A"/>
    <w:rsid w:val="00915FE6"/>
    <w:rsid w:val="0094042B"/>
    <w:rsid w:val="00941703"/>
    <w:rsid w:val="00941C22"/>
    <w:rsid w:val="00941DEB"/>
    <w:rsid w:val="00947C11"/>
    <w:rsid w:val="00967E5C"/>
    <w:rsid w:val="009862F9"/>
    <w:rsid w:val="0099225F"/>
    <w:rsid w:val="009952D8"/>
    <w:rsid w:val="009B67A4"/>
    <w:rsid w:val="009D2DF2"/>
    <w:rsid w:val="009F1F18"/>
    <w:rsid w:val="009F20C0"/>
    <w:rsid w:val="009F2575"/>
    <w:rsid w:val="009F5923"/>
    <w:rsid w:val="00A01D05"/>
    <w:rsid w:val="00A060D5"/>
    <w:rsid w:val="00A21814"/>
    <w:rsid w:val="00A30A7B"/>
    <w:rsid w:val="00A31DB1"/>
    <w:rsid w:val="00A359F5"/>
    <w:rsid w:val="00A557CF"/>
    <w:rsid w:val="00A5701A"/>
    <w:rsid w:val="00A618F2"/>
    <w:rsid w:val="00A66986"/>
    <w:rsid w:val="00A704BE"/>
    <w:rsid w:val="00AA50D0"/>
    <w:rsid w:val="00AA68E4"/>
    <w:rsid w:val="00AB0C38"/>
    <w:rsid w:val="00AC19FA"/>
    <w:rsid w:val="00B0373D"/>
    <w:rsid w:val="00B11DA4"/>
    <w:rsid w:val="00B1474F"/>
    <w:rsid w:val="00B353A2"/>
    <w:rsid w:val="00B36898"/>
    <w:rsid w:val="00B41207"/>
    <w:rsid w:val="00B51DF7"/>
    <w:rsid w:val="00B54AB1"/>
    <w:rsid w:val="00B63D05"/>
    <w:rsid w:val="00B64654"/>
    <w:rsid w:val="00B67F75"/>
    <w:rsid w:val="00B72F93"/>
    <w:rsid w:val="00B75EB4"/>
    <w:rsid w:val="00B77C93"/>
    <w:rsid w:val="00B921C3"/>
    <w:rsid w:val="00B94379"/>
    <w:rsid w:val="00BB25B2"/>
    <w:rsid w:val="00BB589D"/>
    <w:rsid w:val="00C109AE"/>
    <w:rsid w:val="00C16F61"/>
    <w:rsid w:val="00C30C1A"/>
    <w:rsid w:val="00C37F1D"/>
    <w:rsid w:val="00C41473"/>
    <w:rsid w:val="00C477EE"/>
    <w:rsid w:val="00C51145"/>
    <w:rsid w:val="00C55E38"/>
    <w:rsid w:val="00C67DCC"/>
    <w:rsid w:val="00C71642"/>
    <w:rsid w:val="00C80574"/>
    <w:rsid w:val="00C948C0"/>
    <w:rsid w:val="00C956B7"/>
    <w:rsid w:val="00CA6780"/>
    <w:rsid w:val="00CB4676"/>
    <w:rsid w:val="00CD65BC"/>
    <w:rsid w:val="00CD7371"/>
    <w:rsid w:val="00CE16CB"/>
    <w:rsid w:val="00CE2E05"/>
    <w:rsid w:val="00CF0347"/>
    <w:rsid w:val="00CF2293"/>
    <w:rsid w:val="00D31E68"/>
    <w:rsid w:val="00D40099"/>
    <w:rsid w:val="00D645B2"/>
    <w:rsid w:val="00D71509"/>
    <w:rsid w:val="00D824BB"/>
    <w:rsid w:val="00D85FF2"/>
    <w:rsid w:val="00D90337"/>
    <w:rsid w:val="00D93873"/>
    <w:rsid w:val="00DC64BD"/>
    <w:rsid w:val="00DD02DB"/>
    <w:rsid w:val="00DD1D19"/>
    <w:rsid w:val="00DD60FF"/>
    <w:rsid w:val="00DE1678"/>
    <w:rsid w:val="00DF37E5"/>
    <w:rsid w:val="00DF52DA"/>
    <w:rsid w:val="00DF6629"/>
    <w:rsid w:val="00E03582"/>
    <w:rsid w:val="00E13A58"/>
    <w:rsid w:val="00E145DA"/>
    <w:rsid w:val="00E3181F"/>
    <w:rsid w:val="00E37D00"/>
    <w:rsid w:val="00E44A9D"/>
    <w:rsid w:val="00E652F8"/>
    <w:rsid w:val="00E80262"/>
    <w:rsid w:val="00E90831"/>
    <w:rsid w:val="00EA78DF"/>
    <w:rsid w:val="00EB5231"/>
    <w:rsid w:val="00EC0E4C"/>
    <w:rsid w:val="00EC1B0A"/>
    <w:rsid w:val="00ED0435"/>
    <w:rsid w:val="00EF7467"/>
    <w:rsid w:val="00F03CF6"/>
    <w:rsid w:val="00F1220B"/>
    <w:rsid w:val="00F454BD"/>
    <w:rsid w:val="00F47330"/>
    <w:rsid w:val="00F512AF"/>
    <w:rsid w:val="00F56F07"/>
    <w:rsid w:val="00F61198"/>
    <w:rsid w:val="00F70086"/>
    <w:rsid w:val="00F81CEB"/>
    <w:rsid w:val="00F87A99"/>
    <w:rsid w:val="00F97C6A"/>
    <w:rsid w:val="00FA1414"/>
    <w:rsid w:val="00FA67E7"/>
    <w:rsid w:val="00FC5B7B"/>
    <w:rsid w:val="00FC7B53"/>
    <w:rsid w:val="00FE4407"/>
    <w:rsid w:val="00FE47F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C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0C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666AE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666AE"/>
    <w:rPr>
      <w:rFonts w:ascii="Calibri" w:hAnsi="Calibri"/>
      <w:kern w:val="2"/>
    </w:rPr>
  </w:style>
  <w:style w:type="character" w:styleId="a8">
    <w:name w:val="annotation reference"/>
    <w:rsid w:val="00EC0E4C"/>
    <w:rPr>
      <w:sz w:val="18"/>
      <w:szCs w:val="18"/>
    </w:rPr>
  </w:style>
  <w:style w:type="paragraph" w:styleId="a9">
    <w:name w:val="annotation text"/>
    <w:basedOn w:val="a"/>
    <w:link w:val="aa"/>
    <w:rsid w:val="00EC0E4C"/>
    <w:rPr>
      <w:lang w:val="x-none" w:eastAsia="x-none"/>
    </w:rPr>
  </w:style>
  <w:style w:type="character" w:customStyle="1" w:styleId="aa">
    <w:name w:val="註解文字 字元"/>
    <w:link w:val="a9"/>
    <w:rsid w:val="00EC0E4C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rsid w:val="00EC0E4C"/>
    <w:rPr>
      <w:b/>
      <w:bCs/>
    </w:rPr>
  </w:style>
  <w:style w:type="character" w:customStyle="1" w:styleId="ac">
    <w:name w:val="註解主旨 字元"/>
    <w:link w:val="ab"/>
    <w:rsid w:val="00EC0E4C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rsid w:val="00EC0E4C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EC0E4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C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0C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666AE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666AE"/>
    <w:rPr>
      <w:rFonts w:ascii="Calibri" w:hAnsi="Calibri"/>
      <w:kern w:val="2"/>
    </w:rPr>
  </w:style>
  <w:style w:type="character" w:styleId="a8">
    <w:name w:val="annotation reference"/>
    <w:rsid w:val="00EC0E4C"/>
    <w:rPr>
      <w:sz w:val="18"/>
      <w:szCs w:val="18"/>
    </w:rPr>
  </w:style>
  <w:style w:type="paragraph" w:styleId="a9">
    <w:name w:val="annotation text"/>
    <w:basedOn w:val="a"/>
    <w:link w:val="aa"/>
    <w:rsid w:val="00EC0E4C"/>
    <w:rPr>
      <w:lang w:val="x-none" w:eastAsia="x-none"/>
    </w:rPr>
  </w:style>
  <w:style w:type="character" w:customStyle="1" w:styleId="aa">
    <w:name w:val="註解文字 字元"/>
    <w:link w:val="a9"/>
    <w:rsid w:val="00EC0E4C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rsid w:val="00EC0E4C"/>
    <w:rPr>
      <w:b/>
      <w:bCs/>
    </w:rPr>
  </w:style>
  <w:style w:type="character" w:customStyle="1" w:styleId="ac">
    <w:name w:val="註解主旨 字元"/>
    <w:link w:val="ab"/>
    <w:rsid w:val="00EC0E4C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rsid w:val="00EC0E4C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EC0E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AF53-1983-4FAF-AB18-116B0D9C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988</Characters>
  <Application>Microsoft Office Word</Application>
  <DocSecurity>0</DocSecurity>
  <Lines>8</Lines>
  <Paragraphs>2</Paragraphs>
  <ScaleCrop>false</ScaleCrop>
  <Company>CMT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第十屆全國經典總會考第一次籌備會議議程</dc:title>
  <dc:creator>User</dc:creator>
  <cp:lastModifiedBy>黃淑宜</cp:lastModifiedBy>
  <cp:revision>5</cp:revision>
  <cp:lastPrinted>2015-04-02T02:25:00Z</cp:lastPrinted>
  <dcterms:created xsi:type="dcterms:W3CDTF">2015-04-02T02:25:00Z</dcterms:created>
  <dcterms:modified xsi:type="dcterms:W3CDTF">2015-04-02T03:24:00Z</dcterms:modified>
</cp:coreProperties>
</file>